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AAB" w:rsidRDefault="00791AAB">
      <w:r>
        <w:t>Beispiel für die Ableitung von trigonometrischen Funktionen:</w:t>
      </w:r>
    </w:p>
    <w:p w:rsidR="00791AAB" w:rsidRDefault="00791AAB"/>
    <w:p w:rsidR="00791AAB" w:rsidRDefault="00791AAB" w:rsidP="00791AAB">
      <w:pPr>
        <w:pStyle w:val="Listenabsatz"/>
        <w:numPr>
          <w:ilvl w:val="0"/>
          <w:numId w:val="1"/>
        </w:numPr>
      </w:pPr>
      <w:proofErr w:type="spellStart"/>
      <w:r w:rsidRPr="00791AAB">
        <w:rPr>
          <w:color w:val="ED7D31" w:themeColor="accent2"/>
        </w:rPr>
        <w:t>Faktorrregel</w:t>
      </w:r>
      <w:proofErr w:type="spellEnd"/>
      <w:r w:rsidRPr="00791AAB">
        <w:rPr>
          <w:color w:val="ED7D31" w:themeColor="accent2"/>
        </w:rPr>
        <w:t>:</w:t>
      </w:r>
    </w:p>
    <w:p w:rsidR="00791AAB" w:rsidRPr="00791AAB" w:rsidRDefault="00791AAB" w:rsidP="00791AAB">
      <w:pPr>
        <w:pStyle w:val="Listenabsatz"/>
        <w:ind w:left="360"/>
        <w:rPr>
          <w:rFonts w:eastAsiaTheme="minorEastAsia"/>
        </w:rPr>
      </w:pPr>
      <w:bookmarkStart w:id="0" w:name="OLE_LINK1"/>
      <w:bookmarkStart w:id="1" w:name="OLE_LINK2"/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=3⋅</m:t>
          </m:r>
          <m:r>
            <m:rPr>
              <m:sty m:val="p"/>
            </m:rPr>
            <w:rPr>
              <w:rFonts w:ascii="Cambria Math" w:hAnsi="Cambria Math"/>
            </w:rPr>
            <m:t>sin⁡</m:t>
          </m:r>
          <m:r>
            <w:rPr>
              <w:rFonts w:ascii="Cambria Math" w:hAnsi="Cambria Math"/>
            </w:rPr>
            <m:t>(x)</m:t>
          </m:r>
        </m:oMath>
      </m:oMathPara>
      <w:bookmarkEnd w:id="0"/>
      <w:bookmarkEnd w:id="1"/>
    </w:p>
    <w:p w:rsidR="00791AAB" w:rsidRPr="00791AAB" w:rsidRDefault="00791AAB" w:rsidP="00791AAB">
      <w:pPr>
        <w:pStyle w:val="Listenabsatz"/>
        <w:ind w:left="360"/>
        <w:rPr>
          <w:color w:val="ED7D31" w:themeColor="accent2"/>
        </w:rPr>
      </w:pPr>
      <m:oMathPara>
        <m:oMath>
          <m:r>
            <w:rPr>
              <w:rFonts w:ascii="Cambria Math" w:hAnsi="Cambria Math"/>
              <w:color w:val="ED7D31" w:themeColor="accent2"/>
            </w:rPr>
            <m:t>f</m:t>
          </m:r>
          <m:r>
            <w:rPr>
              <w:rFonts w:ascii="Cambria Math" w:hAnsi="Cambria Math"/>
              <w:color w:val="ED7D31" w:themeColor="accent2"/>
            </w:rPr>
            <m:t>'</m:t>
          </m:r>
          <m:d>
            <m:dPr>
              <m:ctrlPr>
                <w:rPr>
                  <w:rFonts w:ascii="Cambria Math" w:hAnsi="Cambria Math"/>
                  <w:i/>
                  <w:color w:val="ED7D31" w:themeColor="accent2"/>
                </w:rPr>
              </m:ctrlPr>
            </m:dPr>
            <m:e>
              <m:r>
                <w:rPr>
                  <w:rFonts w:ascii="Cambria Math" w:hAnsi="Cambria Math"/>
                  <w:color w:val="ED7D31" w:themeColor="accent2"/>
                </w:rPr>
                <m:t>x</m:t>
              </m:r>
            </m:e>
          </m:d>
          <m:r>
            <w:rPr>
              <w:rFonts w:ascii="Cambria Math" w:hAnsi="Cambria Math"/>
              <w:color w:val="ED7D31" w:themeColor="accent2"/>
            </w:rPr>
            <m:t>=3⋅</m:t>
          </m:r>
          <m:func>
            <m:funcPr>
              <m:ctrlPr>
                <w:rPr>
                  <w:rFonts w:ascii="Cambria Math" w:hAnsi="Cambria Math"/>
                  <w:color w:val="ED7D31" w:themeColor="accent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ED7D31" w:themeColor="accent2"/>
                </w:rPr>
                <m:t>cos</m:t>
              </m:r>
              <m:ctrlPr>
                <w:rPr>
                  <w:rFonts w:ascii="Cambria Math" w:hAnsi="Cambria Math"/>
                  <w:i/>
                  <w:color w:val="ED7D31" w:themeColor="accent2"/>
                </w:rPr>
              </m:ctrlPr>
            </m:fName>
            <m:e>
              <m:r>
                <w:rPr>
                  <w:rFonts w:ascii="Cambria Math" w:hAnsi="Cambria Math"/>
                  <w:color w:val="ED7D31" w:themeColor="accent2"/>
                </w:rPr>
                <m:t>(x)</m:t>
              </m:r>
            </m:e>
          </m:func>
        </m:oMath>
      </m:oMathPara>
    </w:p>
    <w:p w:rsidR="00791AAB" w:rsidRPr="00791AAB" w:rsidRDefault="00791AAB" w:rsidP="00791AAB">
      <w:pPr>
        <w:pStyle w:val="Listenabsatz"/>
        <w:numPr>
          <w:ilvl w:val="0"/>
          <w:numId w:val="1"/>
        </w:numPr>
        <w:rPr>
          <w:color w:val="7030A0"/>
        </w:rPr>
      </w:pPr>
      <w:r w:rsidRPr="00791AAB">
        <w:rPr>
          <w:color w:val="7030A0"/>
        </w:rPr>
        <w:t>Produktregel:</w:t>
      </w:r>
    </w:p>
    <w:p w:rsidR="00791AAB" w:rsidRPr="00791AAB" w:rsidRDefault="00791AAB" w:rsidP="00791AAB">
      <w:pPr>
        <w:pStyle w:val="Listenabsatz"/>
        <w:ind w:left="360"/>
        <w:rPr>
          <w:rFonts w:asciiTheme="minorHAnsi" w:eastAsiaTheme="minorEastAsia" w:hAnsiTheme="minorHAnsi" w:cstheme="minorBidi"/>
        </w:rPr>
      </w:pPr>
      <w:bookmarkStart w:id="2" w:name="OLE_LINK3"/>
      <w:bookmarkStart w:id="3" w:name="OLE_LINK4"/>
      <m:oMathPara>
        <m:oMath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func>
          <m:r>
            <w:rPr>
              <w:rFonts w:ascii="Cambria Math" w:hAnsi="Cambria Math"/>
            </w:rPr>
            <m:t>⋅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func>
        </m:oMath>
      </m:oMathPara>
    </w:p>
    <w:bookmarkStart w:id="4" w:name="OLE_LINK5"/>
    <w:bookmarkStart w:id="5" w:name="OLE_LINK6"/>
    <w:bookmarkEnd w:id="2"/>
    <w:bookmarkEnd w:id="3"/>
    <w:p w:rsidR="00791AAB" w:rsidRPr="00791AAB" w:rsidRDefault="00791AAB" w:rsidP="00791AAB">
      <w:pPr>
        <w:pStyle w:val="Listenabsatz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g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</m:e>
                  </m:func>
                </m:e>
              </m:d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⋅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func>
          <m:r>
            <w:rPr>
              <w:rFonts w:ascii="Cambria Math" w:hAnsi="Cambria Math"/>
            </w:rPr>
            <m:t>+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func>
          <m:r>
            <w:rPr>
              <w:rFonts w:ascii="Cambria Math" w:hAnsi="Cambria Math"/>
            </w:rPr>
            <m:t xml:space="preserve">⋅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</m:e>
                  </m:func>
                </m:e>
              </m:d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</m:oMath>
      </m:oMathPara>
    </w:p>
    <w:bookmarkEnd w:id="4"/>
    <w:bookmarkEnd w:id="5"/>
    <w:p w:rsidR="00791AAB" w:rsidRPr="00791AAB" w:rsidRDefault="00791AAB" w:rsidP="00791AAB">
      <w:pPr>
        <w:pStyle w:val="Listenabsatz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g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-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func>
          <m:r>
            <w:rPr>
              <w:rFonts w:ascii="Cambria Math" w:hAnsi="Cambria Math"/>
            </w:rPr>
            <m:t>⋅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func>
          <m:r>
            <w:rPr>
              <w:rFonts w:ascii="Cambria Math" w:hAnsi="Cambria Math"/>
            </w:rPr>
            <m:t>+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func>
          <m:r>
            <w:rPr>
              <w:rFonts w:ascii="Cambria Math" w:hAnsi="Cambria Math"/>
            </w:rPr>
            <m:t>⋅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func>
        </m:oMath>
      </m:oMathPara>
    </w:p>
    <w:p w:rsidR="00791AAB" w:rsidRPr="00791AAB" w:rsidRDefault="00791AAB" w:rsidP="00791AAB">
      <w:pPr>
        <w:pStyle w:val="Listenabsatz"/>
        <w:rPr>
          <w:color w:val="7030A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7030A0"/>
                </w:rPr>
              </m:ctrlPr>
            </m:sSupPr>
            <m:e>
              <m:r>
                <w:rPr>
                  <w:rFonts w:ascii="Cambria Math" w:hAnsi="Cambria Math"/>
                  <w:color w:val="7030A0"/>
                </w:rPr>
                <m:t>g</m:t>
              </m:r>
            </m:e>
            <m:sup>
              <m:r>
                <w:rPr>
                  <w:rFonts w:ascii="Cambria Math" w:hAnsi="Cambria Math"/>
                  <w:color w:val="7030A0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color w:val="7030A0"/>
                </w:rPr>
              </m:ctrlPr>
            </m:dPr>
            <m:e>
              <m:r>
                <w:rPr>
                  <w:rFonts w:ascii="Cambria Math" w:hAnsi="Cambria Math"/>
                  <w:color w:val="7030A0"/>
                </w:rPr>
                <m:t>t</m:t>
              </m:r>
            </m:e>
          </m:d>
          <m:r>
            <w:rPr>
              <w:rFonts w:ascii="Cambria Math" w:hAnsi="Cambria Math"/>
              <w:color w:val="7030A0"/>
            </w:rPr>
            <m:t>=</m:t>
          </m:r>
          <m:r>
            <w:rPr>
              <w:rFonts w:ascii="Cambria Math" w:hAnsi="Cambria Math"/>
              <w:color w:val="7030A0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color w:val="7030A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color w:val="7030A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7030A0"/>
                        </w:rPr>
                        <m:t>sin</m:t>
                      </m:r>
                      <m:ctrlPr>
                        <w:rPr>
                          <w:rFonts w:ascii="Cambria Math" w:hAnsi="Cambria Math"/>
                          <w:i/>
                          <w:color w:val="7030A0"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7030A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7030A0"/>
                            </w:rPr>
                            <m:t>t</m:t>
                          </m:r>
                        </m:e>
                      </m:d>
                    </m:e>
                  </m:func>
                </m:e>
              </m:d>
            </m:e>
            <m:sup>
              <m:r>
                <w:rPr>
                  <w:rFonts w:ascii="Cambria Math" w:hAnsi="Cambria Math"/>
                  <w:color w:val="7030A0"/>
                </w:rPr>
                <m:t>2</m:t>
              </m:r>
            </m:sup>
          </m:sSup>
          <m:r>
            <w:rPr>
              <w:rFonts w:ascii="Cambria Math" w:hAnsi="Cambria Math"/>
              <w:color w:val="7030A0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color w:val="7030A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color w:val="7030A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7030A0"/>
                        </w:rPr>
                        <m:t>cos</m:t>
                      </m:r>
                      <m:ctrlPr>
                        <w:rPr>
                          <w:rFonts w:ascii="Cambria Math" w:hAnsi="Cambria Math"/>
                          <w:i/>
                          <w:color w:val="7030A0"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7030A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7030A0"/>
                            </w:rPr>
                            <m:t>t</m:t>
                          </m:r>
                        </m:e>
                      </m:d>
                    </m:e>
                  </m:func>
                </m:e>
              </m:d>
            </m:e>
            <m:sup>
              <m:r>
                <w:rPr>
                  <w:rFonts w:ascii="Cambria Math" w:hAnsi="Cambria Math"/>
                  <w:color w:val="7030A0"/>
                </w:rPr>
                <m:t>2</m:t>
              </m:r>
            </m:sup>
          </m:sSup>
        </m:oMath>
      </m:oMathPara>
    </w:p>
    <w:p w:rsidR="00791AAB" w:rsidRPr="00791AAB" w:rsidRDefault="00791AAB" w:rsidP="00791AAB">
      <w:pPr>
        <w:pStyle w:val="Listenabsatz"/>
      </w:pPr>
    </w:p>
    <w:p w:rsidR="00791AAB" w:rsidRPr="00791AAB" w:rsidRDefault="00791AAB" w:rsidP="00791AAB">
      <w:pPr>
        <w:pStyle w:val="Listenabsatz"/>
      </w:pPr>
    </w:p>
    <w:p w:rsidR="00791AAB" w:rsidRPr="00791AAB" w:rsidRDefault="00791AAB" w:rsidP="00791AAB">
      <w:pPr>
        <w:pStyle w:val="Listenabsatz"/>
        <w:ind w:left="360"/>
        <w:rPr>
          <w:rFonts w:asciiTheme="minorHAnsi" w:eastAsiaTheme="minorEastAsia" w:hAnsiTheme="minorHAnsi" w:cstheme="minorBidi"/>
        </w:rPr>
      </w:pPr>
    </w:p>
    <w:p w:rsidR="00791AAB" w:rsidRDefault="00973DB9" w:rsidP="00791AAB">
      <w:pPr>
        <w:pStyle w:val="Listenabsatz"/>
        <w:numPr>
          <w:ilvl w:val="0"/>
          <w:numId w:val="1"/>
        </w:numPr>
      </w:pPr>
      <w:proofErr w:type="spellStart"/>
      <w:r>
        <w:t>Quotientenregel</w:t>
      </w:r>
      <w:proofErr w:type="spellEnd"/>
      <w:r>
        <w:t>:</w:t>
      </w:r>
    </w:p>
    <w:p w:rsidR="00973DB9" w:rsidRDefault="00450D28" w:rsidP="00973DB9">
      <w:pPr>
        <w:spacing w:before="120"/>
        <w:jc w:val="center"/>
        <w:rPr>
          <w:sz w:val="26"/>
          <w:szCs w:val="26"/>
        </w:rPr>
      </w:pPr>
      <w:r w:rsidRPr="007D4A03">
        <w:rPr>
          <w:noProof/>
          <w:position w:val="-24"/>
          <w:sz w:val="26"/>
          <w:szCs w:val="26"/>
        </w:rPr>
        <w:object w:dxaOrig="41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29.25pt;height:34.1pt;mso-width-percent:0;mso-height-percent:0;mso-width-percent:0;mso-height-percent:0" o:ole="">
            <v:imagedata r:id="rId5" o:title=""/>
          </v:shape>
          <o:OLEObject Type="Embed" ProgID="Equation.3" ShapeID="_x0000_i1026" DrawAspect="Content" ObjectID="_1645778428" r:id="rId6"/>
        </w:object>
      </w:r>
    </w:p>
    <w:p w:rsidR="00973DB9" w:rsidRDefault="00973DB9" w:rsidP="00791AAB">
      <w:pPr>
        <w:numPr>
          <w:ilvl w:val="0"/>
          <w:numId w:val="1"/>
        </w:numPr>
        <w:spacing w:before="120"/>
        <w:rPr>
          <w:sz w:val="26"/>
          <w:szCs w:val="26"/>
        </w:rPr>
      </w:pPr>
      <w:r>
        <w:rPr>
          <w:sz w:val="26"/>
          <w:szCs w:val="26"/>
        </w:rPr>
        <w:t>Zusammengesetzte Funktionen:</w:t>
      </w:r>
    </w:p>
    <w:p w:rsidR="00791AAB" w:rsidRDefault="00450D28" w:rsidP="00973DB9">
      <w:pPr>
        <w:spacing w:before="120"/>
        <w:ind w:left="360"/>
        <w:jc w:val="center"/>
        <w:rPr>
          <w:sz w:val="26"/>
          <w:szCs w:val="26"/>
        </w:rPr>
      </w:pPr>
      <w:r w:rsidRPr="00791AAB">
        <w:rPr>
          <w:noProof/>
          <w:position w:val="-24"/>
          <w:sz w:val="26"/>
          <w:szCs w:val="26"/>
        </w:rPr>
        <w:object w:dxaOrig="5700" w:dyaOrig="620">
          <v:shape id="_x0000_i1025" type="#_x0000_t75" alt="" style="width:307.9pt;height:33.15pt;mso-width-percent:0;mso-height-percent:0;mso-width-percent:0;mso-height-percent:0" o:ole="">
            <v:imagedata r:id="rId7" o:title=""/>
          </v:shape>
          <o:OLEObject Type="Embed" ProgID="Equation.3" ShapeID="_x0000_i1025" DrawAspect="Content" ObjectID="_1645778429" r:id="rId8"/>
        </w:object>
      </w:r>
    </w:p>
    <w:p w:rsidR="00973DB9" w:rsidRDefault="00973DB9" w:rsidP="00973DB9">
      <w:pPr>
        <w:spacing w:before="120"/>
        <w:rPr>
          <w:sz w:val="26"/>
          <w:szCs w:val="26"/>
        </w:rPr>
      </w:pPr>
    </w:p>
    <w:p w:rsidR="00973DB9" w:rsidRPr="00791AAB" w:rsidRDefault="00973DB9" w:rsidP="00973DB9">
      <w:pPr>
        <w:spacing w:before="120"/>
        <w:rPr>
          <w:b/>
          <w:bCs/>
          <w:sz w:val="26"/>
          <w:szCs w:val="26"/>
        </w:rPr>
      </w:pPr>
      <w:r w:rsidRPr="00973DB9">
        <w:rPr>
          <w:b/>
          <w:bCs/>
          <w:sz w:val="26"/>
          <w:szCs w:val="26"/>
        </w:rPr>
        <w:t xml:space="preserve">Übungsaufgaben </w:t>
      </w:r>
      <w:proofErr w:type="spellStart"/>
      <w:r w:rsidRPr="00973DB9">
        <w:rPr>
          <w:b/>
          <w:bCs/>
          <w:sz w:val="26"/>
          <w:szCs w:val="26"/>
        </w:rPr>
        <w:t>Lambacher</w:t>
      </w:r>
      <w:proofErr w:type="spellEnd"/>
      <w:r w:rsidRPr="00973DB9">
        <w:rPr>
          <w:b/>
          <w:bCs/>
          <w:sz w:val="26"/>
          <w:szCs w:val="26"/>
        </w:rPr>
        <w:t xml:space="preserve"> Schweizer</w:t>
      </w:r>
    </w:p>
    <w:p w:rsidR="00791AAB" w:rsidRDefault="00791AAB" w:rsidP="00973DB9"/>
    <w:p w:rsidR="00973DB9" w:rsidRPr="00973DB9" w:rsidRDefault="00973DB9" w:rsidP="00973D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i/>
          <w:iCs/>
          <w:color w:val="000000"/>
          <w:u w:val="single"/>
          <w:lang w:eastAsia="en-US"/>
        </w:rPr>
      </w:pPr>
      <w:r w:rsidRPr="00973DB9">
        <w:rPr>
          <w:rFonts w:ascii="Helvetica" w:eastAsiaTheme="minorHAnsi" w:hAnsi="Helvetica" w:cs="Helvetica"/>
          <w:i/>
          <w:iCs/>
          <w:color w:val="000000"/>
          <w:u w:val="single"/>
          <w:lang w:eastAsia="en-US"/>
        </w:rPr>
        <w:t xml:space="preserve">S. 127 </w:t>
      </w:r>
    </w:p>
    <w:p w:rsidR="00973DB9" w:rsidRDefault="00973DB9" w:rsidP="00973D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lang w:val="en-US" w:eastAsia="en-US"/>
        </w:rPr>
      </w:pPr>
      <w:r>
        <w:rPr>
          <w:rFonts w:ascii="Helvetica" w:eastAsiaTheme="minorHAnsi" w:hAnsi="Helvetica" w:cs="Helvetica"/>
          <w:color w:val="000000"/>
          <w:lang w:eastAsia="en-US"/>
        </w:rPr>
        <w:t xml:space="preserve">Nr. 2 </w:t>
      </w:r>
      <w:r>
        <w:rPr>
          <w:rFonts w:ascii="Helvetica" w:eastAsiaTheme="minorHAnsi" w:hAnsi="Helvetica" w:cs="Helvetica"/>
          <w:color w:val="000000"/>
          <w:lang w:eastAsia="en-US"/>
        </w:rPr>
        <w:t>(Lösungssalat beachten!)</w:t>
      </w:r>
    </w:p>
    <w:p w:rsidR="00973DB9" w:rsidRDefault="00973DB9" w:rsidP="00973D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lang w:val="en-US" w:eastAsia="en-US"/>
        </w:rPr>
      </w:pPr>
    </w:p>
    <w:p w:rsidR="00973DB9" w:rsidRDefault="00973DB9" w:rsidP="00973D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lang w:eastAsia="en-US"/>
        </w:rPr>
      </w:pPr>
      <w:r>
        <w:rPr>
          <w:rFonts w:ascii="Helvetica" w:eastAsiaTheme="minorHAnsi" w:hAnsi="Helvetica" w:cs="Helvetica"/>
          <w:color w:val="000000"/>
          <w:lang w:eastAsia="en-US"/>
        </w:rPr>
        <w:t>Nr. 3</w:t>
      </w:r>
    </w:p>
    <w:p w:rsidR="00973DB9" w:rsidRDefault="00973DB9" w:rsidP="00973D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lang w:eastAsia="en-US"/>
        </w:rPr>
      </w:pPr>
    </w:p>
    <w:p w:rsidR="00973DB9" w:rsidRDefault="00973DB9" w:rsidP="00973D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lang w:eastAsia="en-US"/>
        </w:rPr>
      </w:pPr>
      <w:r>
        <w:rPr>
          <w:rFonts w:ascii="Helvetica" w:eastAsiaTheme="minorHAnsi" w:hAnsi="Helvetica" w:cs="Helvetica"/>
          <w:color w:val="000000"/>
          <w:lang w:eastAsia="en-US"/>
        </w:rPr>
        <w:t>Nr. 4 a</w:t>
      </w:r>
      <w:r>
        <w:rPr>
          <w:rFonts w:ascii="Helvetica" w:eastAsiaTheme="minorHAnsi" w:hAnsi="Helvetica" w:cs="Helvetica"/>
          <w:color w:val="000000"/>
          <w:lang w:eastAsia="en-US"/>
        </w:rPr>
        <w:t>) und</w:t>
      </w:r>
      <w:r>
        <w:rPr>
          <w:rFonts w:ascii="Helvetica" w:eastAsiaTheme="minorHAnsi" w:hAnsi="Helvetica" w:cs="Helvetica"/>
          <w:color w:val="000000"/>
          <w:lang w:eastAsia="en-US"/>
        </w:rPr>
        <w:t xml:space="preserve"> d</w:t>
      </w:r>
      <w:r>
        <w:rPr>
          <w:rFonts w:ascii="Helvetica" w:eastAsiaTheme="minorHAnsi" w:hAnsi="Helvetica" w:cs="Helvetica"/>
          <w:color w:val="000000"/>
          <w:lang w:eastAsia="en-US"/>
        </w:rPr>
        <w:t>)</w:t>
      </w:r>
    </w:p>
    <w:p w:rsidR="00973DB9" w:rsidRDefault="00973DB9" w:rsidP="00973D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lang w:eastAsia="en-US"/>
        </w:rPr>
      </w:pPr>
    </w:p>
    <w:p w:rsidR="00973DB9" w:rsidRDefault="00973DB9" w:rsidP="00973D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lang w:eastAsia="en-US"/>
        </w:rPr>
      </w:pPr>
      <w:r>
        <w:rPr>
          <w:rFonts w:ascii="Helvetica" w:eastAsiaTheme="minorHAnsi" w:hAnsi="Helvetica" w:cs="Helvetica"/>
          <w:color w:val="000000"/>
          <w:lang w:eastAsia="en-US"/>
        </w:rPr>
        <w:t>Nr. 5</w:t>
      </w:r>
    </w:p>
    <w:p w:rsidR="00973DB9" w:rsidRDefault="00973DB9" w:rsidP="00973D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lang w:eastAsia="en-US"/>
        </w:rPr>
      </w:pPr>
    </w:p>
    <w:p w:rsidR="00973DB9" w:rsidRPr="00973DB9" w:rsidRDefault="00973DB9" w:rsidP="00973D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i/>
          <w:iCs/>
          <w:color w:val="000000"/>
          <w:u w:val="single"/>
          <w:lang w:eastAsia="en-US"/>
        </w:rPr>
      </w:pPr>
      <w:r w:rsidRPr="00973DB9">
        <w:rPr>
          <w:rFonts w:ascii="Helvetica" w:eastAsiaTheme="minorHAnsi" w:hAnsi="Helvetica" w:cs="Helvetica"/>
          <w:i/>
          <w:iCs/>
          <w:color w:val="000000"/>
          <w:u w:val="single"/>
          <w:lang w:eastAsia="en-US"/>
        </w:rPr>
        <w:t xml:space="preserve">S. 128 </w:t>
      </w:r>
    </w:p>
    <w:p w:rsidR="00973DB9" w:rsidRDefault="00973DB9" w:rsidP="00973D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lang w:eastAsia="en-US"/>
        </w:rPr>
      </w:pPr>
      <w:r>
        <w:rPr>
          <w:rFonts w:ascii="Helvetica" w:eastAsiaTheme="minorHAnsi" w:hAnsi="Helvetica" w:cs="Helvetica"/>
          <w:color w:val="000000"/>
          <w:lang w:eastAsia="en-US"/>
        </w:rPr>
        <w:t>Nr. 6 (nur Zuordnung</w:t>
      </w:r>
      <w:r>
        <w:rPr>
          <w:rFonts w:ascii="Helvetica" w:eastAsiaTheme="minorHAnsi" w:hAnsi="Helvetica" w:cs="Helvetica"/>
          <w:color w:val="000000"/>
          <w:lang w:eastAsia="en-US"/>
        </w:rPr>
        <w:t>, keine schriftliche Begründung</w:t>
      </w:r>
      <w:r>
        <w:rPr>
          <w:rFonts w:ascii="Helvetica" w:eastAsiaTheme="minorHAnsi" w:hAnsi="Helvetica" w:cs="Helvetica"/>
          <w:color w:val="000000"/>
          <w:lang w:eastAsia="en-US"/>
        </w:rPr>
        <w:t>)</w:t>
      </w:r>
    </w:p>
    <w:p w:rsidR="00973DB9" w:rsidRDefault="00973DB9" w:rsidP="00973D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lang w:eastAsia="en-US"/>
        </w:rPr>
      </w:pPr>
    </w:p>
    <w:p w:rsidR="00973DB9" w:rsidRDefault="00973DB9" w:rsidP="00973D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lang w:eastAsia="en-US"/>
        </w:rPr>
      </w:pPr>
      <w:r>
        <w:rPr>
          <w:rFonts w:ascii="Helvetica" w:eastAsiaTheme="minorHAnsi" w:hAnsi="Helvetica" w:cs="Helvetica"/>
          <w:color w:val="000000"/>
          <w:lang w:eastAsia="en-US"/>
        </w:rPr>
        <w:t>Nr. 7 (</w:t>
      </w:r>
      <w:r>
        <w:rPr>
          <w:rFonts w:ascii="Helvetica" w:eastAsiaTheme="minorHAnsi" w:hAnsi="Helvetica" w:cs="Helvetica"/>
          <w:color w:val="000000"/>
          <w:lang w:eastAsia="en-US"/>
        </w:rPr>
        <w:t xml:space="preserve">Bearbeitung hochladen </w:t>
      </w:r>
      <w:r>
        <w:rPr>
          <w:rFonts w:ascii="Helvetica" w:eastAsiaTheme="minorHAnsi" w:hAnsi="Helvetica" w:cs="Helvetica"/>
          <w:color w:val="000000"/>
          <w:lang w:eastAsia="en-US"/>
        </w:rPr>
        <w:t xml:space="preserve">bis Do </w:t>
      </w:r>
      <w:r>
        <w:rPr>
          <w:rFonts w:ascii="Helvetica" w:eastAsiaTheme="minorHAnsi" w:hAnsi="Helvetica" w:cs="Helvetica"/>
          <w:color w:val="000000"/>
          <w:lang w:eastAsia="en-US"/>
        </w:rPr>
        <w:t xml:space="preserve">19. März, </w:t>
      </w:r>
      <w:r>
        <w:rPr>
          <w:rFonts w:ascii="Helvetica" w:eastAsiaTheme="minorHAnsi" w:hAnsi="Helvetica" w:cs="Helvetica"/>
          <w:color w:val="000000"/>
          <w:lang w:eastAsia="en-US"/>
        </w:rPr>
        <w:t>19:00)</w:t>
      </w:r>
    </w:p>
    <w:p w:rsidR="00973DB9" w:rsidRDefault="00973DB9" w:rsidP="00973D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lang w:eastAsia="en-US"/>
        </w:rPr>
      </w:pPr>
    </w:p>
    <w:p w:rsidR="00973DB9" w:rsidRPr="00973DB9" w:rsidRDefault="00973DB9" w:rsidP="00973D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i/>
          <w:iCs/>
          <w:color w:val="000000"/>
          <w:u w:val="single"/>
          <w:lang w:eastAsia="en-US"/>
        </w:rPr>
      </w:pPr>
      <w:r w:rsidRPr="00973DB9">
        <w:rPr>
          <w:rFonts w:ascii="Helvetica" w:eastAsiaTheme="minorHAnsi" w:hAnsi="Helvetica" w:cs="Helvetica"/>
          <w:i/>
          <w:iCs/>
          <w:color w:val="000000"/>
          <w:u w:val="single"/>
          <w:lang w:eastAsia="en-US"/>
        </w:rPr>
        <w:t xml:space="preserve">S. 130 </w:t>
      </w:r>
      <w:bookmarkStart w:id="6" w:name="_GoBack"/>
      <w:bookmarkEnd w:id="6"/>
    </w:p>
    <w:p w:rsidR="00973DB9" w:rsidRDefault="00973DB9" w:rsidP="00973D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lang w:eastAsia="en-US"/>
        </w:rPr>
      </w:pPr>
      <w:r>
        <w:rPr>
          <w:rFonts w:ascii="Helvetica" w:eastAsiaTheme="minorHAnsi" w:hAnsi="Helvetica" w:cs="Helvetica"/>
          <w:color w:val="000000"/>
          <w:lang w:eastAsia="en-US"/>
        </w:rPr>
        <w:t>Nr. 11a) c) e) g)</w:t>
      </w:r>
    </w:p>
    <w:p w:rsidR="00973DB9" w:rsidRDefault="00973DB9" w:rsidP="00973D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lang w:eastAsia="en-US"/>
        </w:rPr>
      </w:pPr>
    </w:p>
    <w:p w:rsidR="00973DB9" w:rsidRDefault="00973DB9" w:rsidP="00973D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lang w:eastAsia="en-US"/>
        </w:rPr>
      </w:pPr>
      <w:r>
        <w:rPr>
          <w:rFonts w:ascii="Helvetica" w:eastAsiaTheme="minorHAnsi" w:hAnsi="Helvetica" w:cs="Helvetica"/>
          <w:color w:val="000000"/>
          <w:lang w:eastAsia="en-US"/>
        </w:rPr>
        <w:t xml:space="preserve">Nr. 12, </w:t>
      </w:r>
    </w:p>
    <w:p w:rsidR="00973DB9" w:rsidRDefault="00973DB9" w:rsidP="00973D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lang w:eastAsia="en-US"/>
        </w:rPr>
      </w:pPr>
    </w:p>
    <w:p w:rsidR="00973DB9" w:rsidRDefault="00973DB9" w:rsidP="00973D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lang w:eastAsia="en-US"/>
        </w:rPr>
      </w:pPr>
      <w:r>
        <w:rPr>
          <w:rFonts w:ascii="Helvetica" w:eastAsiaTheme="minorHAnsi" w:hAnsi="Helvetica" w:cs="Helvetica"/>
          <w:color w:val="000000"/>
          <w:lang w:eastAsia="en-US"/>
        </w:rPr>
        <w:t>Nr. 14 (Fleißübung, Vorbereitung für Klausur, wer bei Nr. 2 Probleme hatte)</w:t>
      </w:r>
    </w:p>
    <w:p w:rsidR="00973DB9" w:rsidRDefault="00973DB9" w:rsidP="00973DB9">
      <w:pPr>
        <w:rPr>
          <w:rFonts w:ascii="Helvetica" w:eastAsiaTheme="minorHAnsi" w:hAnsi="Helvetica" w:cs="Helvetica"/>
          <w:color w:val="000000"/>
          <w:lang w:eastAsia="en-US"/>
        </w:rPr>
      </w:pPr>
    </w:p>
    <w:p w:rsidR="00973DB9" w:rsidRDefault="00973DB9" w:rsidP="00973DB9">
      <w:pPr>
        <w:rPr>
          <w:rFonts w:ascii="Helvetica" w:eastAsiaTheme="minorHAnsi" w:hAnsi="Helvetica" w:cs="Helvetica"/>
          <w:color w:val="000000"/>
          <w:lang w:eastAsia="en-US"/>
        </w:rPr>
      </w:pPr>
      <w:r>
        <w:rPr>
          <w:rFonts w:ascii="Helvetica" w:eastAsiaTheme="minorHAnsi" w:hAnsi="Helvetica" w:cs="Helvetica"/>
          <w:color w:val="000000"/>
          <w:lang w:eastAsia="en-US"/>
        </w:rPr>
        <w:t>Nr. 15 b</w:t>
      </w:r>
      <w:r>
        <w:rPr>
          <w:rFonts w:ascii="Helvetica" w:eastAsiaTheme="minorHAnsi" w:hAnsi="Helvetica" w:cs="Helvetica"/>
          <w:color w:val="000000"/>
          <w:lang w:eastAsia="en-US"/>
        </w:rPr>
        <w:t>)</w:t>
      </w:r>
      <w:r>
        <w:rPr>
          <w:rFonts w:ascii="Helvetica" w:eastAsiaTheme="minorHAnsi" w:hAnsi="Helvetica" w:cs="Helvetica"/>
          <w:color w:val="000000"/>
          <w:lang w:eastAsia="en-US"/>
        </w:rPr>
        <w:t>, d) (vgl</w:t>
      </w:r>
      <w:r>
        <w:rPr>
          <w:rFonts w:ascii="Helvetica" w:eastAsiaTheme="minorHAnsi" w:hAnsi="Helvetica" w:cs="Helvetica"/>
          <w:color w:val="000000"/>
          <w:lang w:eastAsia="en-US"/>
        </w:rPr>
        <w:t>.</w:t>
      </w:r>
      <w:r>
        <w:rPr>
          <w:rFonts w:ascii="Helvetica" w:eastAsiaTheme="minorHAnsi" w:hAnsi="Helvetica" w:cs="Helvetica"/>
          <w:color w:val="000000"/>
          <w:lang w:eastAsia="en-US"/>
        </w:rPr>
        <w:t xml:space="preserve"> Tangens)</w:t>
      </w:r>
    </w:p>
    <w:p w:rsidR="00973DB9" w:rsidRPr="00973DB9" w:rsidRDefault="00973DB9" w:rsidP="00973DB9">
      <w:pPr>
        <w:jc w:val="center"/>
        <w:rPr>
          <w:color w:val="ED7D31" w:themeColor="accent2"/>
        </w:rPr>
      </w:pPr>
      <w:r w:rsidRPr="00973DB9">
        <w:rPr>
          <w:rFonts w:ascii="Helvetica" w:eastAsiaTheme="minorHAnsi" w:hAnsi="Helvetica" w:cs="Helvetica"/>
          <w:color w:val="ED7D31" w:themeColor="accent2"/>
          <w:lang w:eastAsia="en-US"/>
        </w:rPr>
        <w:t xml:space="preserve">Wendet euch bei Fragen an eure Kursleiterin bzw. euren Kursleiter via </w:t>
      </w:r>
      <w:proofErr w:type="spellStart"/>
      <w:r w:rsidRPr="00973DB9">
        <w:rPr>
          <w:rFonts w:ascii="Helvetica" w:eastAsiaTheme="minorHAnsi" w:hAnsi="Helvetica" w:cs="Helvetica"/>
          <w:color w:val="ED7D31" w:themeColor="accent2"/>
          <w:lang w:eastAsia="en-US"/>
        </w:rPr>
        <w:t>Mebis</w:t>
      </w:r>
      <w:proofErr w:type="spellEnd"/>
    </w:p>
    <w:sectPr w:rsidR="00973DB9" w:rsidRPr="00973DB9" w:rsidSect="0075065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627B0"/>
    <w:multiLevelType w:val="hybridMultilevel"/>
    <w:tmpl w:val="A25AFAE6"/>
    <w:lvl w:ilvl="0" w:tplc="3FB6805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75E72"/>
    <w:multiLevelType w:val="hybridMultilevel"/>
    <w:tmpl w:val="B2527C2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4E"/>
    <w:rsid w:val="00450D28"/>
    <w:rsid w:val="006E374E"/>
    <w:rsid w:val="00750659"/>
    <w:rsid w:val="00791AAB"/>
    <w:rsid w:val="008B09D4"/>
    <w:rsid w:val="00973DB9"/>
    <w:rsid w:val="00A5003B"/>
    <w:rsid w:val="00E4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D668"/>
  <w14:defaultImageDpi w14:val="32767"/>
  <w15:chartTrackingRefBased/>
  <w15:docId w15:val="{18746300-E23F-CB45-9E31-3C423D9C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791AAB"/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1AA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91A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Michel</dc:creator>
  <cp:keywords/>
  <dc:description/>
  <cp:lastModifiedBy>Maximilian Michel</cp:lastModifiedBy>
  <cp:revision>3</cp:revision>
  <dcterms:created xsi:type="dcterms:W3CDTF">2020-03-15T10:39:00Z</dcterms:created>
  <dcterms:modified xsi:type="dcterms:W3CDTF">2020-03-15T10:54:00Z</dcterms:modified>
</cp:coreProperties>
</file>